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Staff AI usage policy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Clear rules for using AI tools at work. Adapt it to your business.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Company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Policy owner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Approval date / next review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1. Purpose</w:t>
      </w:r>
    </w:p>
    <w:p>
      <w:pPr>
        <w:spacing w:after="140"/>
      </w:pPr>
      <w:r>
        <w:t xml:space="preserve">This policy lets staff at [Company] use AI tools in a way that is useful, safe and compliant with the GDPR and the EU AI Act (Regulation (EU) 2024/1689).</w:t>
      </w:r>
    </w:p>
    <w:p>
      <w:pPr>
        <w:pStyle w:val="Heading2"/>
        <w:spacing w:after="120" w:before="280"/>
      </w:pPr>
      <w:r>
        <w:t xml:space="preserve">2. Approved tools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4200"/>
        <w:gridCol w:w="2226"/>
      </w:tblGrid>
      <w:tr>
        <w:trPr>
          <w:tblHeader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Tool</w:t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Permitted use</w:t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Account (company / personal)</w:t>
            </w:r>
          </w:p>
        </w:tc>
      </w:tr>
      <w:tr>
        <w:trPr>
          <w:trHeight w:val="440" w:hRule="atLeast"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40"/>
      </w:pPr>
      <w:r>
        <w:t xml:space="preserve">Any other tool needs prior approval from the policy owner.</w:t>
      </w:r>
    </w:p>
    <w:p>
      <w:pPr>
        <w:pStyle w:val="Heading2"/>
        <w:spacing w:after="120" w:before="280"/>
      </w:pPr>
      <w:r>
        <w:t xml:space="preserve">3. Permitted uses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Drafting emails, texts and summaries.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Translating and proofreading texts that contain no confidential data.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Generating ideas, structuring documents and preparing presentations.</w:t>
      </w:r>
    </w:p>
    <w:p>
      <w:pPr>
        <w:pStyle w:val="Heading2"/>
        <w:spacing w:after="120" w:before="280"/>
      </w:pPr>
      <w:r>
        <w:t xml:space="preserve">4. Not allowed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Entering personal data of customers, staff or suppliers into unapproved tools.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Entering confidential information: prices, contracts, financial data or trade secrets.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Sending AI-generated text or analysis to a customer without checking it.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Using AI to make decisions about people (hiring, appraisal, credit) without human review.</w:t>
      </w:r>
    </w:p>
    <w:p>
      <w:pPr>
        <w:pStyle w:val="Heading2"/>
        <w:spacing w:after="120" w:before="280"/>
      </w:pPr>
      <w:r>
        <w:t xml:space="preserve">5. Human review and transparency</w:t>
      </w:r>
    </w:p>
    <w:p>
      <w:pPr>
        <w:spacing w:after="140"/>
      </w:pPr>
      <w:r>
        <w:t xml:space="preserve">The person who uses AI is responsible for the result. Check facts, figures and names before you use them. When a customer interacts directly with an AI system (for example a chatbot), they are told so.</w:t>
      </w:r>
    </w:p>
    <w:p>
      <w:pPr>
        <w:pStyle w:val="Heading2"/>
        <w:spacing w:after="120" w:before="280"/>
      </w:pPr>
      <w:r>
        <w:t xml:space="preserve">6. Training</w:t>
      </w:r>
    </w:p>
    <w:p>
      <w:pPr>
        <w:spacing w:after="140"/>
      </w:pPr>
      <w:r>
        <w:t xml:space="preserve">All staff who use AI tools receive basic training on how they work, their limits and this policy (Article 4 of the AI Act).</w:t>
      </w:r>
    </w:p>
    <w:p>
      <w:pPr>
        <w:pStyle w:val="Heading2"/>
        <w:spacing w:after="120" w:before="280"/>
      </w:pPr>
      <w:r>
        <w:t xml:space="preserve">7. Incidents</w:t>
      </w:r>
    </w:p>
    <w:p>
      <w:pPr>
        <w:spacing w:after="140"/>
      </w:pPr>
      <w:r>
        <w:t xml:space="preserve">If personal or confidential data is entered into a tool by mistake, tell the policy owner the same day.</w:t>
      </w:r>
    </w:p>
    <w:p>
      <w:pPr>
        <w:pStyle w:val="Heading2"/>
        <w:spacing w:after="120" w:before="280"/>
      </w:pPr>
      <w:r>
        <w:t xml:space="preserve">Acknowledgement</w:t>
      </w:r>
    </w:p>
    <w:p>
      <w:pPr>
        <w:spacing w:after="140"/>
      </w:pPr>
      <w:r>
        <w:t xml:space="preserve">I have read and accept this policy.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400"/>
        <w:gridCol w:w="2026"/>
      </w:tblGrid>
      <w:tr>
        <w:trPr>
          <w:tblHeader/>
        </w:trPr>
        <w:tc>
          <w:tcPr>
            <w:tcW w:type="dxa" w:w="3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3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Signature</w:t>
            </w:r>
          </w:p>
        </w:tc>
        <w:tc>
          <w:tcPr>
            <w:tcW w:type="dxa" w:w="2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rPr>
          <w:trHeight w:val="440" w:hRule="atLeast"/>
        </w:trPr>
        <w:tc>
          <w:tcPr>
            <w:tcW w:type="dxa" w:w="3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Levantix template · levantix.es · admin@levantix.es</w:t>
    </w:r>
  </w:p>
  <w:p>
    <w:r>
      <w:rPr>
        <w:i/>
        <w:iCs/>
        <w:color w:val="777B95"/>
        <w:sz w:val="16"/>
        <w:szCs w:val="16"/>
      </w:rPr>
      <w:t xml:space="preserve">Guidance template. It does not replace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AI usage policy</dc:title>
  <dc:creator>Levantix</dc:creator>
  <cp:lastModifiedBy>Un-named</cp:lastModifiedBy>
  <cp:revision>1</cp:revision>
  <dcterms:created xsi:type="dcterms:W3CDTF">2026-09-29T09:23:37.213Z</dcterms:created>
  <dcterms:modified xsi:type="dcterms:W3CDTF">2026-09-29T09:23:37.213Z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